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C8" w:rsidRDefault="0029743E" w:rsidP="0029743E">
      <w:pPr>
        <w:jc w:val="center"/>
        <w:rPr>
          <w:b/>
          <w:sz w:val="28"/>
          <w:szCs w:val="28"/>
        </w:rPr>
      </w:pPr>
      <w:r w:rsidRPr="0029743E">
        <w:rPr>
          <w:rFonts w:hint="eastAsia"/>
          <w:b/>
          <w:sz w:val="28"/>
          <w:szCs w:val="28"/>
        </w:rPr>
        <w:t>內壢國中學生志願服務學習辦法</w:t>
      </w:r>
    </w:p>
    <w:p w:rsidR="0029743E" w:rsidRDefault="0029743E" w:rsidP="0029743E">
      <w:pPr>
        <w:rPr>
          <w:b/>
          <w:sz w:val="28"/>
          <w:szCs w:val="28"/>
        </w:rPr>
      </w:pP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一、本校服務學習認證依據桃園市府公告之「桃園區高級中等學校免試入學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超額比序志願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服務學習時數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計實施要點」辦理。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二、新生於8/1</w:t>
      </w:r>
      <w:r>
        <w:rPr>
          <w:rFonts w:ascii="標楷體" w:eastAsia="標楷體" w:hAnsi="標楷體" w:hint="eastAsia"/>
          <w:b/>
          <w:sz w:val="28"/>
          <w:szCs w:val="28"/>
        </w:rPr>
        <w:t>起算為內壢</w:t>
      </w:r>
      <w:r w:rsidRPr="0029743E">
        <w:rPr>
          <w:rFonts w:ascii="標楷體" w:eastAsia="標楷體" w:hAnsi="標楷體" w:hint="eastAsia"/>
          <w:b/>
          <w:sz w:val="28"/>
          <w:szCs w:val="28"/>
        </w:rPr>
        <w:t>國中之學生，故服務時數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計時間由8/1起算，7月所進行之服務為國小階段，</w:t>
      </w:r>
      <w:r>
        <w:rPr>
          <w:rFonts w:ascii="標楷體" w:eastAsia="標楷體" w:hAnsi="標楷體" w:hint="eastAsia"/>
          <w:b/>
          <w:sz w:val="28"/>
          <w:szCs w:val="28"/>
        </w:rPr>
        <w:t>依法</w:t>
      </w:r>
      <w:r w:rsidRPr="0029743E">
        <w:rPr>
          <w:rFonts w:ascii="標楷體" w:eastAsia="標楷體" w:hAnsi="標楷體" w:hint="eastAsia"/>
          <w:b/>
          <w:sz w:val="28"/>
          <w:szCs w:val="28"/>
        </w:rPr>
        <w:t>無法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計。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三、服務單位認證標準：需同時符合以下兩點 → 1.政府立案之機構(可請該單位出示立案證書) + 2.非營利單位。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四、服務類別：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)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校外志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工：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1.政府機關(含各級學校，不含村里長辦公室)或依人民團體法登記立案者。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2.公益團體舉辦之非政治、商業、營利且無給酬勞之服務。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3.關懷服務弱勢族群：養老院、大型公立醫院(私人診所等為營利單位故無法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計)、育幼院等機構之服務。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4.各社區或公益單位長期或臨時招募之志工。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5.其它經桃園市政府教育局認可之公益性服務單位或活動。</w:t>
      </w:r>
    </w:p>
    <w:p w:rsidR="00234159" w:rsidRDefault="00234159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相關提供服務學習之單位可至桃園市政府社會局網頁查詢</w:t>
      </w:r>
    </w:p>
    <w:p w:rsidR="0029743E" w:rsidRDefault="00234159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(桃園市社福機構資訊專區</w:t>
      </w:r>
      <w:r w:rsidR="00B46C79">
        <w:rPr>
          <w:rFonts w:ascii="標楷體" w:eastAsia="標楷體" w:hAnsi="標楷體" w:hint="eastAsia"/>
          <w:b/>
          <w:sz w:val="28"/>
          <w:szCs w:val="28"/>
        </w:rPr>
        <w:t xml:space="preserve"> - </w:t>
      </w:r>
      <w:hyperlink r:id="rId5" w:history="1">
        <w:r w:rsidR="00155474" w:rsidRPr="00385DE0">
          <w:rPr>
            <w:rStyle w:val="a4"/>
            <w:rFonts w:ascii="標楷體" w:eastAsia="標楷體" w:hAnsi="標楷體"/>
            <w:b/>
            <w:sz w:val="28"/>
            <w:szCs w:val="28"/>
          </w:rPr>
          <w:t>https://reurl.cc/3Np9KO</w:t>
        </w:r>
      </w:hyperlink>
    </w:p>
    <w:p w:rsidR="00155474" w:rsidRPr="00155474" w:rsidRDefault="00155474" w:rsidP="00155474">
      <w:pPr>
        <w:spacing w:before="240" w:line="120" w:lineRule="auto"/>
        <w:rPr>
          <w:rStyle w:val="a4"/>
          <w:b/>
          <w:u w:val="non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或志工桃園全球資訊網 </w:t>
      </w:r>
      <w:r>
        <w:rPr>
          <w:rFonts w:ascii="標楷體" w:eastAsia="標楷體" w:hAnsi="標楷體"/>
          <w:b/>
          <w:sz w:val="28"/>
          <w:szCs w:val="28"/>
        </w:rPr>
        <w:t xml:space="preserve">- </w:t>
      </w:r>
      <w:hyperlink r:id="rId6" w:history="1">
        <w:r w:rsidRPr="00385DE0">
          <w:rPr>
            <w:rStyle w:val="a4"/>
            <w:rFonts w:ascii="標楷體" w:eastAsia="標楷體" w:hAnsi="標楷體"/>
            <w:b/>
            <w:sz w:val="28"/>
            <w:szCs w:val="28"/>
          </w:rPr>
          <w:t>https://vspc.tycg.gov.tw/</w:t>
        </w:r>
      </w:hyperlink>
      <w:r>
        <w:rPr>
          <w:rStyle w:val="a4"/>
          <w:rFonts w:ascii="標楷體" w:eastAsia="標楷體" w:hAnsi="標楷體"/>
          <w:b/>
          <w:sz w:val="28"/>
          <w:szCs w:val="28"/>
          <w:u w:val="none"/>
        </w:rPr>
        <w:t xml:space="preserve"> </w:t>
      </w:r>
      <w:r w:rsidRPr="00155474">
        <w:rPr>
          <w:rStyle w:val="a4"/>
          <w:rFonts w:ascii="標楷體" w:eastAsia="標楷體" w:hAnsi="標楷體"/>
          <w:b/>
          <w:color w:val="auto"/>
          <w:sz w:val="28"/>
          <w:szCs w:val="28"/>
          <w:u w:val="none"/>
        </w:rPr>
        <w:t>)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6.請學生斟酌時間和能力選擇參與，並應事先徵詢老師及家長同意，務必在無安全疑慮下參與志願服務學習活動。校外之志願服務學習</w:t>
      </w:r>
      <w:r w:rsidR="00234159">
        <w:rPr>
          <w:rFonts w:ascii="標楷體" w:eastAsia="標楷體" w:hAnsi="標楷體" w:hint="eastAsia"/>
          <w:b/>
          <w:sz w:val="28"/>
          <w:szCs w:val="28"/>
        </w:rPr>
        <w:t>盡量</w:t>
      </w:r>
      <w:r w:rsidRPr="0029743E">
        <w:rPr>
          <w:rFonts w:ascii="標楷體" w:eastAsia="標楷體" w:hAnsi="標楷體" w:hint="eastAsia"/>
          <w:b/>
          <w:sz w:val="28"/>
          <w:szCs w:val="28"/>
        </w:rPr>
        <w:t>不要單獨前往，最好由家長陪同或多人進行。</w:t>
      </w:r>
    </w:p>
    <w:p w:rsidR="0029743E" w:rsidRDefault="0029743E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(二)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校內志工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由本校各處室提供</w:t>
      </w:r>
      <w:r>
        <w:rPr>
          <w:rFonts w:ascii="標楷體" w:eastAsia="標楷體" w:hAnsi="標楷體" w:hint="eastAsia"/>
          <w:b/>
          <w:sz w:val="28"/>
          <w:szCs w:val="28"/>
        </w:rPr>
        <w:t>充足之名額供學生自由報名</w:t>
      </w:r>
      <w:r w:rsidRPr="0029743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9743E" w:rsidRPr="00234159" w:rsidRDefault="00234159" w:rsidP="00234159">
      <w:pPr>
        <w:pStyle w:val="a3"/>
        <w:numPr>
          <w:ilvl w:val="0"/>
          <w:numId w:val="1"/>
        </w:numPr>
        <w:spacing w:line="12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234159">
        <w:rPr>
          <w:rFonts w:ascii="標楷體" w:eastAsia="標楷體" w:hAnsi="標楷體" w:hint="eastAsia"/>
          <w:b/>
          <w:sz w:val="28"/>
          <w:szCs w:val="28"/>
        </w:rPr>
        <w:t>平日</w:t>
      </w:r>
      <w:r w:rsidR="00C41640" w:rsidRPr="00234159">
        <w:rPr>
          <w:rFonts w:ascii="標楷體" w:eastAsia="標楷體" w:hAnsi="標楷體" w:hint="eastAsia"/>
          <w:b/>
          <w:sz w:val="28"/>
          <w:szCs w:val="28"/>
        </w:rPr>
        <w:t>上學期間每日午休時間各處室皆有提供志工名額。</w:t>
      </w:r>
    </w:p>
    <w:p w:rsidR="00234159" w:rsidRPr="00234159" w:rsidRDefault="00234159" w:rsidP="00234159">
      <w:pPr>
        <w:pStyle w:val="a3"/>
        <w:numPr>
          <w:ilvl w:val="0"/>
          <w:numId w:val="1"/>
        </w:numPr>
        <w:spacing w:line="120" w:lineRule="auto"/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平日放學交通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導護志工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、整潔及秩序評分志工。</w:t>
      </w:r>
    </w:p>
    <w:p w:rsidR="00C41640" w:rsidRPr="00155474" w:rsidRDefault="00234159" w:rsidP="00155474">
      <w:pPr>
        <w:pStyle w:val="a3"/>
        <w:numPr>
          <w:ilvl w:val="0"/>
          <w:numId w:val="1"/>
        </w:numPr>
        <w:spacing w:line="12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55474">
        <w:rPr>
          <w:rFonts w:ascii="標楷體" w:eastAsia="標楷體" w:hAnsi="標楷體" w:hint="eastAsia"/>
          <w:b/>
          <w:sz w:val="28"/>
          <w:szCs w:val="28"/>
        </w:rPr>
        <w:t>平日</w:t>
      </w:r>
      <w:r w:rsidR="00C41640" w:rsidRPr="00155474">
        <w:rPr>
          <w:rFonts w:ascii="標楷體" w:eastAsia="標楷體" w:hAnsi="標楷體" w:hint="eastAsia"/>
          <w:b/>
          <w:sz w:val="28"/>
          <w:szCs w:val="28"/>
        </w:rPr>
        <w:t>上學期間由各班導師核定班級志工</w:t>
      </w:r>
      <w:r w:rsidRPr="00155474">
        <w:rPr>
          <w:rFonts w:ascii="標楷體" w:eastAsia="標楷體" w:hAnsi="標楷體" w:hint="eastAsia"/>
          <w:b/>
          <w:sz w:val="28"/>
          <w:szCs w:val="28"/>
        </w:rPr>
        <w:t>利用下課時間服務</w:t>
      </w:r>
      <w:r w:rsidR="00C41640" w:rsidRPr="0015547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55474" w:rsidRPr="00155474" w:rsidRDefault="00155474" w:rsidP="00155474">
      <w:pPr>
        <w:pStyle w:val="a3"/>
        <w:numPr>
          <w:ilvl w:val="0"/>
          <w:numId w:val="1"/>
        </w:numPr>
        <w:spacing w:line="120" w:lineRule="auto"/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寒假及暑假期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間，上班日各處室皆提供足量之志工名額。</w:t>
      </w:r>
    </w:p>
    <w:p w:rsidR="00C41640" w:rsidRDefault="00155474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C41640">
        <w:rPr>
          <w:rFonts w:ascii="標楷體" w:eastAsia="標楷體" w:hAnsi="標楷體" w:hint="eastAsia"/>
          <w:b/>
          <w:sz w:val="28"/>
          <w:szCs w:val="28"/>
        </w:rPr>
        <w:t>.學校各類活動公開招募之臨時</w:t>
      </w:r>
      <w:r w:rsidR="00234159">
        <w:rPr>
          <w:rFonts w:ascii="標楷體" w:eastAsia="標楷體" w:hAnsi="標楷體" w:hint="eastAsia"/>
          <w:b/>
          <w:sz w:val="28"/>
          <w:szCs w:val="28"/>
        </w:rPr>
        <w:t>志工(運動會、園遊會等)。</w:t>
      </w:r>
    </w:p>
    <w:p w:rsidR="00C41640" w:rsidRPr="0029743E" w:rsidRDefault="00C41640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五、時數認證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規準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29743E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29743E">
        <w:rPr>
          <w:rFonts w:ascii="標楷體" w:eastAsia="標楷體" w:hAnsi="標楷體" w:hint="eastAsia"/>
          <w:b/>
          <w:sz w:val="28"/>
          <w:szCs w:val="28"/>
        </w:rPr>
        <w:t>)服務滿0.5小時以0.5小時登錄，服務滿1小時以1小時登錄，依此類推。每小時換算0.3分，分數上限為10分。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(二)申請高中職入學，時數至少20小時(需搭配幹部積分計算)，至多34小時為滿分。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lastRenderedPageBreak/>
        <w:t>(三)申請五專免試入學：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a.五專-優先免試入學，服務學習每1小時 0.25分，滿分15分(至多服務學習60小時)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b.五專-聯合免試入學，服務學習滿8小時得1分，此項目累計積分上限為7分(至多服務學習56小時)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 w:rsidRPr="0029743E">
        <w:rPr>
          <w:rFonts w:ascii="標楷體" w:eastAsia="標楷體" w:hAnsi="標楷體" w:hint="eastAsia"/>
          <w:b/>
          <w:sz w:val="28"/>
          <w:szCs w:val="28"/>
        </w:rPr>
        <w:t>(四)已獎勵之勞務工作及銷過改過之服務不得重複登錄時數，如班級幹部、社團幹部、自治市幹部等。</w:t>
      </w:r>
      <w:r w:rsidR="00B46C79">
        <w:rPr>
          <w:rFonts w:ascii="標楷體" w:eastAsia="標楷體" w:hAnsi="標楷體" w:hint="eastAsia"/>
          <w:b/>
          <w:sz w:val="28"/>
          <w:szCs w:val="28"/>
        </w:rPr>
        <w:t>例如完成一次服務後只得就服務時數或品格貼紙二擇</w:t>
      </w:r>
      <w:proofErr w:type="gramStart"/>
      <w:r w:rsidR="00B46C7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B46C7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9743E" w:rsidRPr="0029743E" w:rsidRDefault="0029743E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</w:p>
    <w:p w:rsidR="00155474" w:rsidRDefault="00B46C79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如有相關問題，</w:t>
      </w:r>
    </w:p>
    <w:p w:rsidR="00155474" w:rsidRDefault="00155474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可至桃園市政府教育局十二年國民基本教育資訊網查詢</w:t>
      </w:r>
    </w:p>
    <w:p w:rsidR="00155474" w:rsidRDefault="00155474" w:rsidP="0029743E">
      <w:pPr>
        <w:spacing w:line="120" w:lineRule="auto"/>
        <w:rPr>
          <w:rFonts w:ascii="標楷體" w:eastAsia="標楷體" w:hAnsi="標楷體"/>
          <w:b/>
          <w:sz w:val="28"/>
          <w:szCs w:val="28"/>
        </w:rPr>
      </w:pPr>
      <w:hyperlink r:id="rId7" w:history="1">
        <w:r w:rsidRPr="00385DE0">
          <w:rPr>
            <w:rStyle w:val="a4"/>
            <w:rFonts w:ascii="標楷體" w:eastAsia="標楷體" w:hAnsi="標楷體"/>
            <w:b/>
            <w:sz w:val="28"/>
            <w:szCs w:val="28"/>
          </w:rPr>
          <w:t>https://12basic.tyc.edu.tw/index.php?page=qanda</w:t>
        </w:r>
      </w:hyperlink>
    </w:p>
    <w:p w:rsidR="0029743E" w:rsidRPr="0029743E" w:rsidRDefault="00155474" w:rsidP="0029743E">
      <w:pPr>
        <w:spacing w:line="120" w:lineRule="auto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或於上班時間</w:t>
      </w:r>
      <w:r w:rsidR="00B46C79">
        <w:rPr>
          <w:rFonts w:ascii="標楷體" w:eastAsia="標楷體" w:hAnsi="標楷體" w:hint="eastAsia"/>
          <w:b/>
          <w:sz w:val="28"/>
          <w:szCs w:val="28"/>
        </w:rPr>
        <w:t>洽詢學</w:t>
      </w:r>
      <w:proofErr w:type="gramStart"/>
      <w:r w:rsidR="00B46C7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B46C79">
        <w:rPr>
          <w:rFonts w:ascii="標楷體" w:eastAsia="標楷體" w:hAnsi="標楷體" w:hint="eastAsia"/>
          <w:b/>
          <w:sz w:val="28"/>
          <w:szCs w:val="28"/>
        </w:rPr>
        <w:t>處訓育組</w:t>
      </w:r>
      <w:r w:rsidR="0029743E" w:rsidRPr="0029743E">
        <w:rPr>
          <w:rFonts w:ascii="標楷體" w:eastAsia="標楷體" w:hAnsi="標楷體" w:hint="eastAsia"/>
          <w:b/>
          <w:sz w:val="28"/>
          <w:szCs w:val="28"/>
        </w:rPr>
        <w:t>(分機</w:t>
      </w:r>
      <w:r w:rsidR="0029743E">
        <w:rPr>
          <w:rFonts w:ascii="標楷體" w:eastAsia="標楷體" w:hAnsi="標楷體" w:hint="eastAsia"/>
          <w:b/>
          <w:sz w:val="28"/>
          <w:szCs w:val="28"/>
        </w:rPr>
        <w:t>311</w:t>
      </w:r>
      <w:r w:rsidR="00B46C79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29743E" w:rsidRPr="00297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7151"/>
    <w:multiLevelType w:val="hybridMultilevel"/>
    <w:tmpl w:val="4134F25E"/>
    <w:lvl w:ilvl="0" w:tplc="3AD6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A"/>
    <w:rsid w:val="00155474"/>
    <w:rsid w:val="00234159"/>
    <w:rsid w:val="0029743E"/>
    <w:rsid w:val="005B78BA"/>
    <w:rsid w:val="00A528C8"/>
    <w:rsid w:val="00B46C79"/>
    <w:rsid w:val="00C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EC51"/>
  <w15:chartTrackingRefBased/>
  <w15:docId w15:val="{5E2D992B-3841-4D35-B604-1481078A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59"/>
    <w:pPr>
      <w:ind w:leftChars="200" w:left="480"/>
    </w:pPr>
  </w:style>
  <w:style w:type="character" w:styleId="a4">
    <w:name w:val="Hyperlink"/>
    <w:basedOn w:val="a0"/>
    <w:uiPriority w:val="99"/>
    <w:unhideWhenUsed/>
    <w:rsid w:val="00155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5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2basic.tyc.edu.tw/index.php?page=qa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pc.tycg.gov.tw/" TargetMode="External"/><Relationship Id="rId5" Type="http://schemas.openxmlformats.org/officeDocument/2006/relationships/hyperlink" Target="https://reurl.cc/3Np9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591</Words>
  <Characters>669</Characters>
  <Application>Microsoft Office Word</Application>
  <DocSecurity>0</DocSecurity>
  <Lines>35</Lines>
  <Paragraphs>52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2021-04-06T02:46:00Z</cp:lastPrinted>
  <dcterms:created xsi:type="dcterms:W3CDTF">2021-04-01T04:45:00Z</dcterms:created>
  <dcterms:modified xsi:type="dcterms:W3CDTF">2021-04-06T02:48:00Z</dcterms:modified>
</cp:coreProperties>
</file>